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72C" w:rsidRDefault="00925D31">
      <w:pPr>
        <w:pStyle w:val="Titolo2"/>
        <w:spacing w:before="134"/>
        <w:jc w:val="both"/>
        <w:rPr>
          <w:spacing w:val="-2"/>
        </w:rPr>
      </w:pPr>
      <w:r>
        <w:t>Modalità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fruizione</w:t>
      </w:r>
      <w:r>
        <w:rPr>
          <w:spacing w:val="-12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ferie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personale</w:t>
      </w:r>
      <w:r>
        <w:rPr>
          <w:spacing w:val="-11"/>
        </w:rPr>
        <w:t xml:space="preserve"> </w:t>
      </w:r>
      <w:r>
        <w:t>docente</w:t>
      </w:r>
      <w:r>
        <w:rPr>
          <w:spacing w:val="-12"/>
        </w:rPr>
        <w:t xml:space="preserve"> </w:t>
      </w:r>
      <w:r>
        <w:t>supplente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tempo</w:t>
      </w:r>
      <w:r>
        <w:rPr>
          <w:spacing w:val="-11"/>
        </w:rPr>
        <w:t xml:space="preserve"> </w:t>
      </w:r>
      <w:r>
        <w:rPr>
          <w:spacing w:val="-2"/>
        </w:rPr>
        <w:t>determinato</w:t>
      </w:r>
    </w:p>
    <w:p w:rsidR="005A3A6D" w:rsidRPr="005A3A6D" w:rsidRDefault="005A3A6D">
      <w:pPr>
        <w:pStyle w:val="Titolo2"/>
        <w:spacing w:before="134"/>
        <w:jc w:val="both"/>
        <w:rPr>
          <w:sz w:val="12"/>
          <w:szCs w:val="12"/>
        </w:rPr>
      </w:pPr>
    </w:p>
    <w:p w:rsidR="00B6272C" w:rsidRDefault="00925D31" w:rsidP="005A3A6D">
      <w:pPr>
        <w:pStyle w:val="Paragrafoelenco"/>
        <w:numPr>
          <w:ilvl w:val="0"/>
          <w:numId w:val="3"/>
        </w:numPr>
        <w:tabs>
          <w:tab w:val="left" w:pos="1841"/>
          <w:tab w:val="left" w:pos="1844"/>
        </w:tabs>
        <w:ind w:left="1843" w:right="1129"/>
        <w:jc w:val="both"/>
      </w:pPr>
      <w:r>
        <w:t>Legge 24 dicembre 2012, n. 228 (Legge di Stabilità 2013). L’Art. 55 stabilisce che il personale docente di tutti i gradi di istruzione, indipendentemente dal tipo di contratto</w:t>
      </w:r>
      <w:r>
        <w:t xml:space="preserve"> (ruolo o tempo determinato), </w:t>
      </w:r>
      <w:r w:rsidRPr="004B2869">
        <w:rPr>
          <w:b/>
        </w:rPr>
        <w:t>deve fruire delle ferie nei giorni di sospensione delle lezioni definiti dai calendari scolastici regionali, ad eccezione dei periodi destinati agli scrutini, agli esami di Stato e alle attività valutative</w:t>
      </w:r>
      <w:r>
        <w:t>. Durante il resto de</w:t>
      </w:r>
      <w:r>
        <w:t xml:space="preserve">ll’anno scolastico, la fruizione delle ferie è limitata a un </w:t>
      </w:r>
      <w:r w:rsidRPr="0097143A">
        <w:rPr>
          <w:b/>
        </w:rPr>
        <w:t>massimo di 6 giornate lavorative, subordinatamente alla possibilità di sostituzione senza oneri aggiuntivi per la finanza pubblica</w:t>
      </w:r>
      <w:r>
        <w:t>.</w:t>
      </w:r>
    </w:p>
    <w:p w:rsidR="005A3A6D" w:rsidRPr="005A3A6D" w:rsidRDefault="005A3A6D" w:rsidP="005A3A6D">
      <w:pPr>
        <w:pStyle w:val="Paragrafoelenco"/>
        <w:tabs>
          <w:tab w:val="left" w:pos="1841"/>
          <w:tab w:val="left" w:pos="1844"/>
        </w:tabs>
        <w:ind w:left="1843" w:right="1129" w:firstLine="0"/>
        <w:jc w:val="both"/>
        <w:rPr>
          <w:sz w:val="10"/>
          <w:szCs w:val="10"/>
        </w:rPr>
      </w:pPr>
    </w:p>
    <w:p w:rsidR="00B6272C" w:rsidRDefault="00925D31" w:rsidP="005A3A6D">
      <w:pPr>
        <w:pStyle w:val="Paragrafoelenco"/>
        <w:numPr>
          <w:ilvl w:val="0"/>
          <w:numId w:val="3"/>
        </w:numPr>
        <w:tabs>
          <w:tab w:val="left" w:pos="1841"/>
          <w:tab w:val="left" w:pos="1844"/>
        </w:tabs>
        <w:ind w:left="1843" w:right="1128"/>
        <w:jc w:val="both"/>
      </w:pPr>
      <w:r>
        <w:t xml:space="preserve">Decreto-legge 6 luglio 2012, n. 95. L’Art. 5, comma 8 (modificato dall’art. 54 della L. 228/2012) sancisce il principio generale secondo cui le ferie devono essere obbligatoriamente fruite e non possono dar luogo a trattamenti economici sostitutivi, salvo </w:t>
      </w:r>
      <w:r>
        <w:t>eccezioni specifiche per il personale docente e ATA supplente breve e saltuario o con contratto fino al termine delle lezioni o delle attività didattiche.</w:t>
      </w:r>
    </w:p>
    <w:p w:rsidR="005A3A6D" w:rsidRPr="005A3A6D" w:rsidRDefault="005A3A6D" w:rsidP="005A3A6D">
      <w:pPr>
        <w:pStyle w:val="Paragrafoelenco"/>
        <w:rPr>
          <w:sz w:val="10"/>
          <w:szCs w:val="10"/>
        </w:rPr>
      </w:pPr>
    </w:p>
    <w:p w:rsidR="00B6272C" w:rsidRPr="005A3A6D" w:rsidRDefault="00925D31" w:rsidP="005A3A6D">
      <w:pPr>
        <w:pStyle w:val="Paragrafoelenco"/>
        <w:numPr>
          <w:ilvl w:val="0"/>
          <w:numId w:val="3"/>
        </w:numPr>
        <w:tabs>
          <w:tab w:val="left" w:pos="1842"/>
          <w:tab w:val="left" w:pos="1844"/>
        </w:tabs>
        <w:ind w:left="1843" w:right="1129" w:hanging="360"/>
        <w:jc w:val="both"/>
      </w:pPr>
      <w:r>
        <w:t xml:space="preserve">CCNL Comparto Istruzione e Ricerca 2019-2021. L’Art. 38: modifica l’art. 13, comma 15 del CCNL 29/11/2007, stabilendo che le ferie maturate e non godute per esigenze di servizio sono monetizzabili solo all’atto della cessazione del rapporto di lavoro, nei </w:t>
      </w:r>
      <w:r>
        <w:t xml:space="preserve">limiti delle vigenti norme di </w:t>
      </w:r>
      <w:r>
        <w:rPr>
          <w:spacing w:val="-2"/>
        </w:rPr>
        <w:t>legge.</w:t>
      </w:r>
    </w:p>
    <w:p w:rsidR="005A3A6D" w:rsidRPr="005A3A6D" w:rsidRDefault="005A3A6D" w:rsidP="005A3A6D">
      <w:pPr>
        <w:pStyle w:val="Paragrafoelenco"/>
        <w:rPr>
          <w:sz w:val="10"/>
          <w:szCs w:val="10"/>
        </w:rPr>
      </w:pPr>
    </w:p>
    <w:p w:rsidR="00B6272C" w:rsidRDefault="00925D31" w:rsidP="005A3A6D">
      <w:pPr>
        <w:pStyle w:val="Paragrafoelenco"/>
        <w:numPr>
          <w:ilvl w:val="0"/>
          <w:numId w:val="3"/>
        </w:numPr>
        <w:tabs>
          <w:tab w:val="left" w:pos="1842"/>
          <w:tab w:val="left" w:pos="1844"/>
        </w:tabs>
        <w:ind w:left="1843" w:right="1128" w:hanging="360"/>
        <w:jc w:val="both"/>
      </w:pPr>
      <w:r>
        <w:t>Dichiarazione congiunta n. 2 allegata al CCNL 2019-2021. Chiarisce che, in base alle circolari applicative del D.L. 95/2012, la monetizzazione delle ferie non fruite è possibile solo in casi specifici di impossibilità n</w:t>
      </w:r>
      <w:r>
        <w:t>on imputabile al dipendente, come:</w:t>
      </w:r>
    </w:p>
    <w:p w:rsidR="00B6272C" w:rsidRDefault="00925D31" w:rsidP="004B2869">
      <w:pPr>
        <w:pStyle w:val="Paragrafoelenco"/>
        <w:numPr>
          <w:ilvl w:val="1"/>
          <w:numId w:val="3"/>
        </w:numPr>
        <w:tabs>
          <w:tab w:val="left" w:pos="2564"/>
        </w:tabs>
        <w:spacing w:line="269" w:lineRule="exact"/>
        <w:jc w:val="both"/>
      </w:pPr>
      <w:r>
        <w:rPr>
          <w:spacing w:val="-2"/>
        </w:rPr>
        <w:t>decesso;</w:t>
      </w:r>
    </w:p>
    <w:p w:rsidR="00B6272C" w:rsidRDefault="00925D31" w:rsidP="004B2869">
      <w:pPr>
        <w:pStyle w:val="Paragrafoelenco"/>
        <w:numPr>
          <w:ilvl w:val="1"/>
          <w:numId w:val="3"/>
        </w:numPr>
        <w:tabs>
          <w:tab w:val="left" w:pos="2564"/>
        </w:tabs>
        <w:spacing w:line="276" w:lineRule="exact"/>
        <w:jc w:val="both"/>
      </w:pPr>
      <w:r>
        <w:t>malattia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infortunio;</w:t>
      </w:r>
    </w:p>
    <w:p w:rsidR="00B6272C" w:rsidRDefault="00925D31" w:rsidP="004B2869">
      <w:pPr>
        <w:pStyle w:val="Paragrafoelenco"/>
        <w:numPr>
          <w:ilvl w:val="1"/>
          <w:numId w:val="3"/>
        </w:numPr>
        <w:tabs>
          <w:tab w:val="left" w:pos="2564"/>
        </w:tabs>
        <w:spacing w:before="1"/>
        <w:jc w:val="both"/>
      </w:pPr>
      <w:r>
        <w:t>risoluzione</w:t>
      </w:r>
      <w:r>
        <w:rPr>
          <w:spacing w:val="-15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rapporto</w:t>
      </w:r>
      <w:r>
        <w:rPr>
          <w:spacing w:val="-7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lavoro</w:t>
      </w:r>
      <w:r>
        <w:rPr>
          <w:spacing w:val="-7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inidoneità</w:t>
      </w:r>
      <w:r>
        <w:rPr>
          <w:spacing w:val="-11"/>
        </w:rPr>
        <w:t xml:space="preserve"> </w:t>
      </w:r>
      <w:r>
        <w:t>fisica</w:t>
      </w:r>
      <w:r>
        <w:rPr>
          <w:spacing w:val="-12"/>
        </w:rPr>
        <w:t xml:space="preserve"> </w:t>
      </w:r>
      <w:r>
        <w:t>permanente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assoluta;</w:t>
      </w:r>
    </w:p>
    <w:p w:rsidR="00B6272C" w:rsidRDefault="00925D31" w:rsidP="004B2869">
      <w:pPr>
        <w:pStyle w:val="Paragrafoelenco"/>
        <w:numPr>
          <w:ilvl w:val="1"/>
          <w:numId w:val="3"/>
        </w:numPr>
        <w:tabs>
          <w:tab w:val="left" w:pos="2564"/>
        </w:tabs>
        <w:spacing w:before="2"/>
        <w:ind w:hanging="359"/>
        <w:jc w:val="both"/>
      </w:pPr>
      <w:r>
        <w:rPr>
          <w:spacing w:val="-2"/>
        </w:rPr>
        <w:t>congedo</w:t>
      </w:r>
      <w:r>
        <w:rPr>
          <w:spacing w:val="-3"/>
        </w:rPr>
        <w:t xml:space="preserve"> </w:t>
      </w:r>
      <w:r>
        <w:rPr>
          <w:spacing w:val="-2"/>
        </w:rPr>
        <w:t>obbligatorio</w:t>
      </w:r>
      <w:r>
        <w:rPr>
          <w:spacing w:val="2"/>
        </w:rPr>
        <w:t xml:space="preserve"> </w:t>
      </w:r>
      <w:r>
        <w:rPr>
          <w:spacing w:val="-2"/>
        </w:rPr>
        <w:t>per</w:t>
      </w:r>
      <w:r>
        <w:rPr>
          <w:spacing w:val="-4"/>
        </w:rPr>
        <w:t xml:space="preserve"> </w:t>
      </w:r>
      <w:r>
        <w:rPr>
          <w:spacing w:val="-2"/>
        </w:rPr>
        <w:t>maternità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rPr>
          <w:spacing w:val="4"/>
        </w:rPr>
        <w:t xml:space="preserve"> </w:t>
      </w:r>
      <w:r>
        <w:rPr>
          <w:spacing w:val="-2"/>
        </w:rPr>
        <w:t>paternità.</w:t>
      </w:r>
    </w:p>
    <w:p w:rsidR="00B6272C" w:rsidRDefault="00925D31" w:rsidP="00925D31">
      <w:pPr>
        <w:pStyle w:val="Corpotesto"/>
        <w:spacing w:before="240"/>
        <w:ind w:left="993"/>
        <w:jc w:val="both"/>
        <w:rPr>
          <w:spacing w:val="-2"/>
        </w:rPr>
      </w:pPr>
      <w:r>
        <w:rPr>
          <w:spacing w:val="-2"/>
        </w:rPr>
        <w:t>Alla</w:t>
      </w:r>
      <w:r>
        <w:rPr>
          <w:spacing w:val="-5"/>
        </w:rPr>
        <w:t xml:space="preserve"> </w:t>
      </w:r>
      <w:r>
        <w:rPr>
          <w:spacing w:val="-2"/>
        </w:rPr>
        <w:t>luce</w:t>
      </w:r>
      <w:r>
        <w:rPr>
          <w:spacing w:val="2"/>
        </w:rPr>
        <w:t xml:space="preserve"> </w:t>
      </w:r>
      <w:r>
        <w:rPr>
          <w:spacing w:val="-2"/>
        </w:rPr>
        <w:t>del</w:t>
      </w:r>
      <w:r>
        <w:rPr>
          <w:spacing w:val="1"/>
        </w:rPr>
        <w:t xml:space="preserve"> </w:t>
      </w:r>
      <w:r>
        <w:rPr>
          <w:spacing w:val="-2"/>
        </w:rPr>
        <w:t>quadro</w:t>
      </w:r>
      <w:r>
        <w:rPr>
          <w:spacing w:val="2"/>
        </w:rPr>
        <w:t xml:space="preserve"> </w:t>
      </w:r>
      <w:r>
        <w:rPr>
          <w:spacing w:val="-2"/>
        </w:rPr>
        <w:t>normativo</w:t>
      </w:r>
      <w:r>
        <w:rPr>
          <w:spacing w:val="-1"/>
        </w:rPr>
        <w:t xml:space="preserve"> </w:t>
      </w:r>
      <w:r>
        <w:rPr>
          <w:spacing w:val="-2"/>
        </w:rPr>
        <w:t>sopra</w:t>
      </w:r>
      <w:r>
        <w:rPr>
          <w:spacing w:val="-1"/>
        </w:rPr>
        <w:t xml:space="preserve"> </w:t>
      </w:r>
      <w:r>
        <w:rPr>
          <w:spacing w:val="-2"/>
        </w:rPr>
        <w:t>delineato, si</w:t>
      </w:r>
      <w:r>
        <w:rPr>
          <w:spacing w:val="-1"/>
        </w:rPr>
        <w:t xml:space="preserve"> </w:t>
      </w:r>
      <w:r>
        <w:rPr>
          <w:spacing w:val="-2"/>
        </w:rPr>
        <w:t>forniscono</w:t>
      </w:r>
      <w:r>
        <w:rPr>
          <w:spacing w:val="-1"/>
        </w:rPr>
        <w:t xml:space="preserve"> </w:t>
      </w:r>
      <w:r>
        <w:rPr>
          <w:spacing w:val="-2"/>
        </w:rPr>
        <w:t>le</w:t>
      </w:r>
      <w:r>
        <w:rPr>
          <w:spacing w:val="1"/>
        </w:rPr>
        <w:t xml:space="preserve"> </w:t>
      </w:r>
      <w:r>
        <w:rPr>
          <w:spacing w:val="-2"/>
        </w:rPr>
        <w:t>seguenti</w:t>
      </w:r>
      <w:r>
        <w:rPr>
          <w:spacing w:val="-1"/>
        </w:rPr>
        <w:t xml:space="preserve"> </w:t>
      </w:r>
      <w:r>
        <w:rPr>
          <w:spacing w:val="-2"/>
        </w:rPr>
        <w:t>indicazioni</w:t>
      </w:r>
      <w:r>
        <w:rPr>
          <w:spacing w:val="1"/>
        </w:rPr>
        <w:t xml:space="preserve"> </w:t>
      </w:r>
      <w:r>
        <w:rPr>
          <w:spacing w:val="-2"/>
        </w:rPr>
        <w:t>operative:</w:t>
      </w:r>
      <w:bookmarkStart w:id="0" w:name="-_Periodi_di_fruizione"/>
      <w:bookmarkEnd w:id="0"/>
    </w:p>
    <w:p w:rsidR="00925D31" w:rsidRPr="00925D31" w:rsidRDefault="00925D31" w:rsidP="004B2869">
      <w:pPr>
        <w:pStyle w:val="Corpotesto"/>
        <w:ind w:left="991" w:right="995" w:hanging="1"/>
        <w:jc w:val="both"/>
        <w:rPr>
          <w:b/>
          <w:sz w:val="10"/>
          <w:szCs w:val="10"/>
        </w:rPr>
      </w:pPr>
      <w:bookmarkStart w:id="1" w:name="_GoBack"/>
      <w:bookmarkEnd w:id="1"/>
    </w:p>
    <w:p w:rsidR="00B6272C" w:rsidRPr="00A46F5E" w:rsidRDefault="00925D31" w:rsidP="004B2869">
      <w:pPr>
        <w:pStyle w:val="Corpotesto"/>
        <w:ind w:left="991" w:right="995" w:hanging="1"/>
        <w:jc w:val="both"/>
        <w:rPr>
          <w:b/>
        </w:rPr>
      </w:pPr>
      <w:r w:rsidRPr="00A46F5E">
        <w:rPr>
          <w:b/>
        </w:rPr>
        <w:t>I</w:t>
      </w:r>
      <w:r w:rsidRPr="00A46F5E">
        <w:rPr>
          <w:b/>
          <w:spacing w:val="-7"/>
        </w:rPr>
        <w:t xml:space="preserve"> </w:t>
      </w:r>
      <w:r w:rsidRPr="00A46F5E">
        <w:rPr>
          <w:b/>
        </w:rPr>
        <w:t>docenti</w:t>
      </w:r>
      <w:r w:rsidRPr="00A46F5E">
        <w:rPr>
          <w:b/>
          <w:spacing w:val="-7"/>
        </w:rPr>
        <w:t xml:space="preserve"> </w:t>
      </w:r>
      <w:r w:rsidRPr="00A46F5E">
        <w:rPr>
          <w:b/>
        </w:rPr>
        <w:t>supplenti</w:t>
      </w:r>
      <w:r w:rsidRPr="00A46F5E">
        <w:rPr>
          <w:b/>
          <w:spacing w:val="-7"/>
        </w:rPr>
        <w:t xml:space="preserve"> </w:t>
      </w:r>
      <w:r w:rsidRPr="00A46F5E">
        <w:rPr>
          <w:b/>
        </w:rPr>
        <w:t>a</w:t>
      </w:r>
      <w:r w:rsidRPr="00A46F5E">
        <w:rPr>
          <w:b/>
          <w:spacing w:val="-7"/>
        </w:rPr>
        <w:t xml:space="preserve"> </w:t>
      </w:r>
      <w:r w:rsidRPr="00A46F5E">
        <w:rPr>
          <w:b/>
        </w:rPr>
        <w:t>tempo</w:t>
      </w:r>
      <w:r w:rsidRPr="00A46F5E">
        <w:rPr>
          <w:b/>
          <w:spacing w:val="-6"/>
        </w:rPr>
        <w:t xml:space="preserve"> </w:t>
      </w:r>
      <w:r w:rsidRPr="00A46F5E">
        <w:rPr>
          <w:b/>
        </w:rPr>
        <w:t>determinato</w:t>
      </w:r>
      <w:r w:rsidRPr="00A46F5E">
        <w:rPr>
          <w:b/>
          <w:spacing w:val="-5"/>
        </w:rPr>
        <w:t xml:space="preserve"> </w:t>
      </w:r>
      <w:r w:rsidRPr="00A46F5E">
        <w:rPr>
          <w:b/>
        </w:rPr>
        <w:t>devono</w:t>
      </w:r>
      <w:r w:rsidRPr="00A46F5E">
        <w:rPr>
          <w:b/>
          <w:spacing w:val="-6"/>
        </w:rPr>
        <w:t xml:space="preserve"> </w:t>
      </w:r>
      <w:r w:rsidRPr="00A46F5E">
        <w:rPr>
          <w:b/>
        </w:rPr>
        <w:t>prioritariamente</w:t>
      </w:r>
      <w:r w:rsidRPr="00A46F5E">
        <w:rPr>
          <w:b/>
          <w:spacing w:val="-6"/>
        </w:rPr>
        <w:t xml:space="preserve"> </w:t>
      </w:r>
      <w:r w:rsidRPr="00A46F5E">
        <w:rPr>
          <w:b/>
        </w:rPr>
        <w:t>fruire</w:t>
      </w:r>
      <w:r w:rsidRPr="00A46F5E">
        <w:rPr>
          <w:b/>
          <w:spacing w:val="-4"/>
        </w:rPr>
        <w:t xml:space="preserve"> </w:t>
      </w:r>
      <w:r w:rsidRPr="00A46F5E">
        <w:rPr>
          <w:b/>
        </w:rPr>
        <w:t>delle</w:t>
      </w:r>
      <w:r w:rsidRPr="00A46F5E">
        <w:rPr>
          <w:b/>
          <w:spacing w:val="-9"/>
        </w:rPr>
        <w:t xml:space="preserve"> </w:t>
      </w:r>
      <w:r w:rsidRPr="00A46F5E">
        <w:rPr>
          <w:b/>
        </w:rPr>
        <w:t>ferie</w:t>
      </w:r>
      <w:r w:rsidRPr="00A46F5E">
        <w:rPr>
          <w:b/>
          <w:spacing w:val="-6"/>
        </w:rPr>
        <w:t xml:space="preserve"> </w:t>
      </w:r>
      <w:r w:rsidRPr="00A46F5E">
        <w:rPr>
          <w:b/>
        </w:rPr>
        <w:t>durante</w:t>
      </w:r>
      <w:r w:rsidRPr="00A46F5E">
        <w:rPr>
          <w:b/>
          <w:spacing w:val="-4"/>
        </w:rPr>
        <w:t xml:space="preserve"> </w:t>
      </w:r>
      <w:r w:rsidRPr="00A46F5E">
        <w:rPr>
          <w:b/>
        </w:rPr>
        <w:t>i</w:t>
      </w:r>
      <w:r w:rsidRPr="00A46F5E">
        <w:rPr>
          <w:b/>
          <w:spacing w:val="-7"/>
        </w:rPr>
        <w:t xml:space="preserve"> </w:t>
      </w:r>
      <w:r w:rsidRPr="00A46F5E">
        <w:rPr>
          <w:b/>
        </w:rPr>
        <w:t>periodi</w:t>
      </w:r>
      <w:r w:rsidRPr="00A46F5E">
        <w:rPr>
          <w:b/>
          <w:spacing w:val="-2"/>
        </w:rPr>
        <w:t xml:space="preserve"> </w:t>
      </w:r>
      <w:r w:rsidRPr="00A46F5E">
        <w:rPr>
          <w:b/>
        </w:rPr>
        <w:t xml:space="preserve">di sospensione delle lezioni, </w:t>
      </w:r>
      <w:r w:rsidR="005A3A6D" w:rsidRPr="00A46F5E">
        <w:rPr>
          <w:b/>
        </w:rPr>
        <w:t>come da calendario scolastico regionale allegato.</w:t>
      </w:r>
    </w:p>
    <w:p w:rsidR="00B6272C" w:rsidRPr="00A46F5E" w:rsidRDefault="00B6272C" w:rsidP="004B2869">
      <w:pPr>
        <w:pStyle w:val="Corpotesto"/>
        <w:jc w:val="both"/>
        <w:rPr>
          <w:sz w:val="12"/>
          <w:szCs w:val="12"/>
        </w:rPr>
      </w:pPr>
    </w:p>
    <w:p w:rsidR="00B6272C" w:rsidRPr="0097143A" w:rsidRDefault="00925D31" w:rsidP="004B2869">
      <w:pPr>
        <w:pStyle w:val="Corpotesto"/>
        <w:tabs>
          <w:tab w:val="left" w:pos="2100"/>
        </w:tabs>
        <w:spacing w:before="1"/>
        <w:ind w:left="993" w:right="863"/>
        <w:jc w:val="both"/>
        <w:rPr>
          <w:b/>
        </w:rPr>
      </w:pPr>
      <w:r w:rsidRPr="0097143A">
        <w:rPr>
          <w:b/>
        </w:rPr>
        <w:t>I</w:t>
      </w:r>
      <w:r w:rsidRPr="0097143A">
        <w:rPr>
          <w:b/>
          <w:spacing w:val="-1"/>
        </w:rPr>
        <w:t xml:space="preserve"> </w:t>
      </w:r>
      <w:r w:rsidRPr="0097143A">
        <w:rPr>
          <w:b/>
        </w:rPr>
        <w:t>docenti</w:t>
      </w:r>
      <w:r w:rsidRPr="0097143A">
        <w:rPr>
          <w:b/>
          <w:spacing w:val="-1"/>
        </w:rPr>
        <w:t xml:space="preserve"> </w:t>
      </w:r>
      <w:r w:rsidRPr="0097143A">
        <w:rPr>
          <w:b/>
        </w:rPr>
        <w:t>con</w:t>
      </w:r>
      <w:r w:rsidRPr="0097143A">
        <w:rPr>
          <w:b/>
          <w:spacing w:val="-2"/>
        </w:rPr>
        <w:t xml:space="preserve"> </w:t>
      </w:r>
      <w:r w:rsidRPr="0097143A">
        <w:rPr>
          <w:b/>
        </w:rPr>
        <w:t>contratto fino</w:t>
      </w:r>
      <w:r w:rsidRPr="0097143A">
        <w:rPr>
          <w:b/>
          <w:spacing w:val="-2"/>
        </w:rPr>
        <w:t xml:space="preserve"> </w:t>
      </w:r>
      <w:r w:rsidRPr="0097143A">
        <w:rPr>
          <w:b/>
        </w:rPr>
        <w:t>al 30 giugno devono presentare istanza</w:t>
      </w:r>
      <w:r w:rsidRPr="0097143A">
        <w:rPr>
          <w:b/>
          <w:spacing w:val="-1"/>
        </w:rPr>
        <w:t xml:space="preserve"> </w:t>
      </w:r>
      <w:r w:rsidRPr="0097143A">
        <w:rPr>
          <w:b/>
        </w:rPr>
        <w:t>di</w:t>
      </w:r>
      <w:r w:rsidRPr="0097143A">
        <w:rPr>
          <w:b/>
          <w:spacing w:val="-1"/>
        </w:rPr>
        <w:t xml:space="preserve"> </w:t>
      </w:r>
      <w:r w:rsidRPr="0097143A">
        <w:rPr>
          <w:b/>
        </w:rPr>
        <w:t>fruizione delle ferie durante i</w:t>
      </w:r>
      <w:r w:rsidRPr="0097143A">
        <w:rPr>
          <w:b/>
          <w:spacing w:val="-1"/>
        </w:rPr>
        <w:t xml:space="preserve"> </w:t>
      </w:r>
      <w:r w:rsidRPr="0097143A">
        <w:rPr>
          <w:b/>
        </w:rPr>
        <w:t>periodi</w:t>
      </w:r>
      <w:r w:rsidRPr="0097143A">
        <w:rPr>
          <w:b/>
          <w:spacing w:val="-4"/>
        </w:rPr>
        <w:t xml:space="preserve"> </w:t>
      </w:r>
      <w:r w:rsidRPr="0097143A">
        <w:rPr>
          <w:b/>
        </w:rPr>
        <w:t>di sospensione delle lezioni. In assenza di domanda volontaria, non si avrà diritto all’indennità sostitutiva oltre</w:t>
      </w:r>
      <w:r w:rsidRPr="0097143A">
        <w:rPr>
          <w:b/>
          <w:spacing w:val="40"/>
        </w:rPr>
        <w:t xml:space="preserve"> </w:t>
      </w:r>
      <w:r w:rsidRPr="0097143A">
        <w:rPr>
          <w:b/>
        </w:rPr>
        <w:t>la misura corrispondente alla differenza tra i periodi maturati e i giorni di fruizione possibile.</w:t>
      </w:r>
    </w:p>
    <w:p w:rsidR="00B6272C" w:rsidRDefault="00925D31">
      <w:pPr>
        <w:pStyle w:val="Corpotesto"/>
        <w:spacing w:before="253"/>
        <w:ind w:left="989" w:right="1132"/>
        <w:jc w:val="both"/>
      </w:pPr>
      <w:r>
        <w:t>In</w:t>
      </w:r>
      <w:r>
        <w:rPr>
          <w:spacing w:val="-3"/>
        </w:rPr>
        <w:t xml:space="preserve"> </w:t>
      </w:r>
      <w:r>
        <w:t>ultimo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richiama</w:t>
      </w:r>
      <w:r>
        <w:rPr>
          <w:spacing w:val="-2"/>
        </w:rPr>
        <w:t xml:space="preserve"> </w:t>
      </w:r>
      <w:r>
        <w:t>l’a</w:t>
      </w:r>
      <w:r>
        <w:t>ttenzione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tutto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b/>
        </w:rPr>
        <w:t xml:space="preserve">personale docente supplente a Tempo Determinato </w:t>
      </w:r>
      <w:r>
        <w:t>sulla</w:t>
      </w:r>
      <w:r>
        <w:rPr>
          <w:spacing w:val="-2"/>
        </w:rPr>
        <w:t xml:space="preserve"> </w:t>
      </w:r>
      <w:r>
        <w:t>recente sentenza della Corte di cassazione (</w:t>
      </w:r>
      <w:hyperlink r:id="rId5">
        <w:r>
          <w:rPr>
            <w:color w:val="0000FF"/>
            <w:u w:val="single" w:color="0000FF"/>
          </w:rPr>
          <w:t>Ordinanza 17/06/2024,</w:t>
        </w:r>
        <w:r>
          <w:rPr>
            <w:color w:val="0000FF"/>
            <w:u w:val="single" w:color="0000FF"/>
          </w:rPr>
          <w:t xml:space="preserve"> n. 16715</w:t>
        </w:r>
      </w:hyperlink>
      <w:r>
        <w:t>) e sulle sue rilevanti implicazioni per la gestione delle ferie.</w:t>
      </w:r>
    </w:p>
    <w:p w:rsidR="00B6272C" w:rsidRDefault="00925D31">
      <w:pPr>
        <w:pStyle w:val="Titolo2"/>
        <w:spacing w:before="1"/>
        <w:ind w:right="1131"/>
        <w:jc w:val="both"/>
      </w:pPr>
      <w:bookmarkStart w:id="2" w:name="La_predetta_Ordinanza_mette_in_evidenza_"/>
      <w:bookmarkEnd w:id="2"/>
      <w:r>
        <w:t>La predetta Ordinanza mette in evidenza che il datore di lavoro deve invitare il personale a godere delle ferie nei periodi di sospensione delle attività didattica definiti dai cale</w:t>
      </w:r>
      <w:r>
        <w:t>ndari regionali e delibere del Consiglio di Istituto e nel periodo ricompreso tra il termine delle lezioni e il 30 giugno, avvisando che, diversamente, si perde il diritto all’indennità sostitutiva. L’istituto non è tenuto a corrispondere tale indennità in</w:t>
      </w:r>
      <w:r>
        <w:t xml:space="preserve"> assenza di una formale richiesta di fruizione.</w:t>
      </w:r>
    </w:p>
    <w:p w:rsidR="00B6272C" w:rsidRDefault="00925D31">
      <w:pPr>
        <w:pStyle w:val="Corpotesto"/>
        <w:spacing w:before="239"/>
        <w:ind w:left="991"/>
      </w:pPr>
      <w:r>
        <w:t>Alla</w:t>
      </w:r>
      <w:r>
        <w:rPr>
          <w:spacing w:val="-8"/>
        </w:rPr>
        <w:t xml:space="preserve"> </w:t>
      </w:r>
      <w:r>
        <w:t>luce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rPr>
          <w:spacing w:val="-2"/>
        </w:rPr>
        <w:t>premesso,</w:t>
      </w:r>
    </w:p>
    <w:p w:rsidR="00B6272C" w:rsidRDefault="00925D31">
      <w:pPr>
        <w:pStyle w:val="Titolo1"/>
        <w:ind w:right="142"/>
        <w:jc w:val="center"/>
      </w:pPr>
      <w:bookmarkStart w:id="3" w:name="SI_INVITA"/>
      <w:bookmarkEnd w:id="3"/>
      <w:r>
        <w:t>SI</w:t>
      </w:r>
      <w:r>
        <w:rPr>
          <w:spacing w:val="-1"/>
        </w:rPr>
        <w:t xml:space="preserve"> </w:t>
      </w:r>
      <w:r>
        <w:rPr>
          <w:spacing w:val="-2"/>
        </w:rPr>
        <w:t>INVITA</w:t>
      </w:r>
    </w:p>
    <w:p w:rsidR="00B6272C" w:rsidRDefault="00925D31">
      <w:pPr>
        <w:pStyle w:val="Corpotesto"/>
        <w:spacing w:before="3"/>
        <w:ind w:left="990" w:right="1131"/>
        <w:jc w:val="both"/>
        <w:rPr>
          <w:b/>
        </w:rPr>
      </w:pPr>
      <w:r>
        <w:t xml:space="preserve">il personale docente con contratto a tempo determinato a presentare istanza di fruizione dei giorni di ferie, maturati e maturandi, </w:t>
      </w:r>
      <w:r w:rsidRPr="0097143A">
        <w:rPr>
          <w:b/>
        </w:rPr>
        <w:t>durante i periodi di sospensione d</w:t>
      </w:r>
      <w:r w:rsidR="0097143A" w:rsidRPr="0097143A">
        <w:rPr>
          <w:b/>
        </w:rPr>
        <w:t>elle lezioni</w:t>
      </w:r>
      <w:r w:rsidR="005A3A6D">
        <w:t xml:space="preserve"> </w:t>
      </w:r>
      <w:r w:rsidR="00D33AA0">
        <w:rPr>
          <w:b/>
        </w:rPr>
        <w:t>tramite apposita istanza presente in segreteria digitale – sportello digitale</w:t>
      </w:r>
      <w:r>
        <w:rPr>
          <w:b/>
        </w:rPr>
        <w:t>.</w:t>
      </w:r>
    </w:p>
    <w:p w:rsidR="00B6272C" w:rsidRDefault="00925D31">
      <w:pPr>
        <w:pStyle w:val="Titolo1"/>
        <w:spacing w:before="268" w:line="268" w:lineRule="exact"/>
        <w:ind w:left="5438"/>
      </w:pPr>
      <w:r>
        <w:t>SI</w:t>
      </w:r>
      <w:r>
        <w:rPr>
          <w:spacing w:val="-1"/>
        </w:rPr>
        <w:t xml:space="preserve"> </w:t>
      </w:r>
      <w:r>
        <w:rPr>
          <w:spacing w:val="-2"/>
        </w:rPr>
        <w:t>AVVISA</w:t>
      </w:r>
    </w:p>
    <w:p w:rsidR="00B6272C" w:rsidRDefault="00925D31">
      <w:pPr>
        <w:pStyle w:val="Corpotesto"/>
        <w:ind w:left="990" w:right="1176" w:hanging="1"/>
        <w:jc w:val="both"/>
      </w:pPr>
      <w:r>
        <w:t>il</w:t>
      </w:r>
      <w:r>
        <w:rPr>
          <w:spacing w:val="-1"/>
        </w:rPr>
        <w:t xml:space="preserve"> </w:t>
      </w:r>
      <w:r>
        <w:t>personale docente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 determinato della</w:t>
      </w:r>
      <w:r>
        <w:rPr>
          <w:spacing w:val="-3"/>
        </w:rPr>
        <w:t xml:space="preserve"> </w:t>
      </w:r>
      <w:r>
        <w:t>perdita,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assenza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volont</w:t>
      </w:r>
      <w:r>
        <w:t>aria,</w:t>
      </w:r>
      <w:r>
        <w:rPr>
          <w:spacing w:val="39"/>
        </w:rPr>
        <w:t xml:space="preserve"> </w:t>
      </w:r>
      <w:r>
        <w:t>del diritto alle ferie stesse ed all’indennità sostitutiva.</w:t>
      </w:r>
    </w:p>
    <w:p w:rsidR="006A7C86" w:rsidRDefault="006A7C86" w:rsidP="006A7C86">
      <w:pPr>
        <w:ind w:left="3544" w:firstLine="709"/>
        <w:jc w:val="center"/>
      </w:pPr>
    </w:p>
    <w:p w:rsidR="006A7C86" w:rsidRPr="00885863" w:rsidRDefault="006A7C86" w:rsidP="006A7C86">
      <w:pPr>
        <w:ind w:left="3544" w:firstLine="709"/>
        <w:jc w:val="center"/>
        <w:rPr>
          <w:sz w:val="20"/>
          <w:szCs w:val="20"/>
        </w:rPr>
      </w:pPr>
      <w:r w:rsidRPr="00885863">
        <w:rPr>
          <w:sz w:val="20"/>
          <w:szCs w:val="20"/>
        </w:rPr>
        <w:t>Il Dirigente Scolastico</w:t>
      </w:r>
    </w:p>
    <w:p w:rsidR="006A7C86" w:rsidRDefault="006A7C86" w:rsidP="006A7C86">
      <w:pPr>
        <w:ind w:left="3544" w:firstLine="709"/>
        <w:jc w:val="center"/>
      </w:pPr>
      <w:r>
        <w:rPr>
          <w:sz w:val="20"/>
          <w:szCs w:val="20"/>
        </w:rPr>
        <w:t>P</w:t>
      </w:r>
      <w:r w:rsidRPr="00885863">
        <w:rPr>
          <w:sz w:val="20"/>
          <w:szCs w:val="20"/>
        </w:rPr>
        <w:t>rof. Carlo Menichini</w:t>
      </w:r>
    </w:p>
    <w:p w:rsidR="00B6272C" w:rsidRPr="006A7C86" w:rsidRDefault="006A7C86">
      <w:pPr>
        <w:spacing w:line="204" w:lineRule="exact"/>
        <w:ind w:left="5568"/>
        <w:rPr>
          <w:sz w:val="14"/>
          <w:szCs w:val="14"/>
        </w:rPr>
      </w:pPr>
      <w:r>
        <w:rPr>
          <w:sz w:val="14"/>
          <w:szCs w:val="14"/>
        </w:rPr>
        <w:t xml:space="preserve">               </w:t>
      </w:r>
      <w:r w:rsidR="00925D31" w:rsidRPr="006A7C86">
        <w:rPr>
          <w:sz w:val="14"/>
          <w:szCs w:val="14"/>
        </w:rPr>
        <w:t>Documento</w:t>
      </w:r>
      <w:r w:rsidR="00925D31" w:rsidRPr="006A7C86">
        <w:rPr>
          <w:spacing w:val="-5"/>
          <w:sz w:val="14"/>
          <w:szCs w:val="14"/>
        </w:rPr>
        <w:t xml:space="preserve"> </w:t>
      </w:r>
      <w:r w:rsidR="00925D31" w:rsidRPr="006A7C86">
        <w:rPr>
          <w:sz w:val="14"/>
          <w:szCs w:val="14"/>
        </w:rPr>
        <w:t>firmato</w:t>
      </w:r>
      <w:r w:rsidR="00925D31" w:rsidRPr="006A7C86">
        <w:rPr>
          <w:spacing w:val="-5"/>
          <w:sz w:val="14"/>
          <w:szCs w:val="14"/>
        </w:rPr>
        <w:t xml:space="preserve"> </w:t>
      </w:r>
      <w:r w:rsidR="00925D31" w:rsidRPr="006A7C86">
        <w:rPr>
          <w:sz w:val="14"/>
          <w:szCs w:val="14"/>
        </w:rPr>
        <w:t>digitalmente</w:t>
      </w:r>
      <w:r w:rsidR="00925D31" w:rsidRPr="006A7C86">
        <w:rPr>
          <w:spacing w:val="-3"/>
          <w:sz w:val="14"/>
          <w:szCs w:val="14"/>
        </w:rPr>
        <w:t xml:space="preserve"> </w:t>
      </w:r>
      <w:r w:rsidR="00925D31" w:rsidRPr="006A7C86">
        <w:rPr>
          <w:sz w:val="14"/>
          <w:szCs w:val="14"/>
        </w:rPr>
        <w:t>ai</w:t>
      </w:r>
      <w:r w:rsidR="00925D31" w:rsidRPr="006A7C86">
        <w:rPr>
          <w:spacing w:val="-6"/>
          <w:sz w:val="14"/>
          <w:szCs w:val="14"/>
        </w:rPr>
        <w:t xml:space="preserve"> </w:t>
      </w:r>
      <w:r w:rsidR="00925D31" w:rsidRPr="006A7C86">
        <w:rPr>
          <w:sz w:val="14"/>
          <w:szCs w:val="14"/>
        </w:rPr>
        <w:t>sensi</w:t>
      </w:r>
      <w:r w:rsidR="00925D31" w:rsidRPr="006A7C86">
        <w:rPr>
          <w:spacing w:val="-5"/>
          <w:sz w:val="14"/>
          <w:szCs w:val="14"/>
        </w:rPr>
        <w:t xml:space="preserve"> </w:t>
      </w:r>
      <w:r w:rsidR="00925D31" w:rsidRPr="006A7C86">
        <w:rPr>
          <w:sz w:val="14"/>
          <w:szCs w:val="14"/>
        </w:rPr>
        <w:t>del</w:t>
      </w:r>
      <w:r w:rsidR="00925D31" w:rsidRPr="006A7C86">
        <w:rPr>
          <w:spacing w:val="-6"/>
          <w:sz w:val="14"/>
          <w:szCs w:val="14"/>
        </w:rPr>
        <w:t xml:space="preserve"> </w:t>
      </w:r>
      <w:r w:rsidR="00925D31" w:rsidRPr="006A7C86">
        <w:rPr>
          <w:sz w:val="14"/>
          <w:szCs w:val="14"/>
        </w:rPr>
        <w:t>D.Lgs.</w:t>
      </w:r>
      <w:r w:rsidR="00925D31" w:rsidRPr="006A7C86">
        <w:rPr>
          <w:spacing w:val="-5"/>
          <w:sz w:val="14"/>
          <w:szCs w:val="14"/>
        </w:rPr>
        <w:t xml:space="preserve"> </w:t>
      </w:r>
      <w:r w:rsidR="00925D31" w:rsidRPr="006A7C86">
        <w:rPr>
          <w:sz w:val="14"/>
          <w:szCs w:val="14"/>
        </w:rPr>
        <w:t>82/2005</w:t>
      </w:r>
      <w:r w:rsidR="00925D31" w:rsidRPr="006A7C86">
        <w:rPr>
          <w:spacing w:val="-7"/>
          <w:sz w:val="14"/>
          <w:szCs w:val="14"/>
        </w:rPr>
        <w:t xml:space="preserve"> </w:t>
      </w:r>
      <w:r w:rsidR="00925D31" w:rsidRPr="006A7C86">
        <w:rPr>
          <w:spacing w:val="-2"/>
          <w:sz w:val="14"/>
          <w:szCs w:val="14"/>
        </w:rPr>
        <w:t>s.m.i.</w:t>
      </w:r>
    </w:p>
    <w:p w:rsidR="00B6272C" w:rsidRPr="006A7C86" w:rsidRDefault="006A7C86">
      <w:pPr>
        <w:spacing w:line="219" w:lineRule="exact"/>
        <w:ind w:left="5378"/>
        <w:rPr>
          <w:sz w:val="14"/>
          <w:szCs w:val="14"/>
        </w:rPr>
      </w:pPr>
      <w:r>
        <w:rPr>
          <w:sz w:val="14"/>
          <w:szCs w:val="14"/>
        </w:rPr>
        <w:t xml:space="preserve">                  </w:t>
      </w:r>
      <w:r w:rsidR="00925D31" w:rsidRPr="006A7C86">
        <w:rPr>
          <w:sz w:val="14"/>
          <w:szCs w:val="14"/>
        </w:rPr>
        <w:t>e</w:t>
      </w:r>
      <w:r w:rsidR="00925D31" w:rsidRPr="006A7C86">
        <w:rPr>
          <w:spacing w:val="-8"/>
          <w:sz w:val="14"/>
          <w:szCs w:val="14"/>
        </w:rPr>
        <w:t xml:space="preserve"> </w:t>
      </w:r>
      <w:r w:rsidR="00925D31" w:rsidRPr="006A7C86">
        <w:rPr>
          <w:sz w:val="14"/>
          <w:szCs w:val="14"/>
        </w:rPr>
        <w:t>norme</w:t>
      </w:r>
      <w:r w:rsidR="00925D31" w:rsidRPr="006A7C86">
        <w:rPr>
          <w:spacing w:val="-4"/>
          <w:sz w:val="14"/>
          <w:szCs w:val="14"/>
        </w:rPr>
        <w:t xml:space="preserve"> </w:t>
      </w:r>
      <w:r w:rsidR="00925D31" w:rsidRPr="006A7C86">
        <w:rPr>
          <w:sz w:val="14"/>
          <w:szCs w:val="14"/>
        </w:rPr>
        <w:t>collegate</w:t>
      </w:r>
      <w:r w:rsidR="00925D31" w:rsidRPr="006A7C86">
        <w:rPr>
          <w:spacing w:val="-8"/>
          <w:sz w:val="14"/>
          <w:szCs w:val="14"/>
        </w:rPr>
        <w:t xml:space="preserve"> </w:t>
      </w:r>
      <w:r w:rsidR="00925D31" w:rsidRPr="006A7C86">
        <w:rPr>
          <w:sz w:val="14"/>
          <w:szCs w:val="14"/>
        </w:rPr>
        <w:t>e</w:t>
      </w:r>
      <w:r w:rsidR="00925D31" w:rsidRPr="006A7C86">
        <w:rPr>
          <w:spacing w:val="-3"/>
          <w:sz w:val="14"/>
          <w:szCs w:val="14"/>
        </w:rPr>
        <w:t xml:space="preserve"> </w:t>
      </w:r>
      <w:r w:rsidR="00925D31" w:rsidRPr="006A7C86">
        <w:rPr>
          <w:sz w:val="14"/>
          <w:szCs w:val="14"/>
        </w:rPr>
        <w:t>sostituisce</w:t>
      </w:r>
      <w:r w:rsidR="00925D31" w:rsidRPr="006A7C86">
        <w:rPr>
          <w:spacing w:val="-5"/>
          <w:sz w:val="14"/>
          <w:szCs w:val="14"/>
        </w:rPr>
        <w:t xml:space="preserve"> </w:t>
      </w:r>
      <w:r w:rsidR="00925D31" w:rsidRPr="006A7C86">
        <w:rPr>
          <w:sz w:val="14"/>
          <w:szCs w:val="14"/>
        </w:rPr>
        <w:t>il</w:t>
      </w:r>
      <w:r w:rsidR="00925D31" w:rsidRPr="006A7C86">
        <w:rPr>
          <w:spacing w:val="-1"/>
          <w:sz w:val="14"/>
          <w:szCs w:val="14"/>
        </w:rPr>
        <w:t xml:space="preserve"> </w:t>
      </w:r>
      <w:r w:rsidR="00925D31" w:rsidRPr="006A7C86">
        <w:rPr>
          <w:sz w:val="14"/>
          <w:szCs w:val="14"/>
        </w:rPr>
        <w:t>documento cartaceo</w:t>
      </w:r>
      <w:r w:rsidR="00925D31" w:rsidRPr="006A7C86">
        <w:rPr>
          <w:spacing w:val="-4"/>
          <w:sz w:val="14"/>
          <w:szCs w:val="14"/>
        </w:rPr>
        <w:t xml:space="preserve"> </w:t>
      </w:r>
      <w:r w:rsidR="00925D31" w:rsidRPr="006A7C86">
        <w:rPr>
          <w:sz w:val="14"/>
          <w:szCs w:val="14"/>
        </w:rPr>
        <w:t>e</w:t>
      </w:r>
      <w:r w:rsidR="00925D31" w:rsidRPr="006A7C86">
        <w:rPr>
          <w:spacing w:val="-7"/>
          <w:sz w:val="14"/>
          <w:szCs w:val="14"/>
        </w:rPr>
        <w:t xml:space="preserve"> </w:t>
      </w:r>
      <w:r w:rsidR="00925D31" w:rsidRPr="006A7C86">
        <w:rPr>
          <w:sz w:val="14"/>
          <w:szCs w:val="14"/>
        </w:rPr>
        <w:t>la</w:t>
      </w:r>
      <w:r w:rsidR="00925D31" w:rsidRPr="006A7C86">
        <w:rPr>
          <w:spacing w:val="-2"/>
          <w:sz w:val="14"/>
          <w:szCs w:val="14"/>
        </w:rPr>
        <w:t xml:space="preserve"> </w:t>
      </w:r>
      <w:r w:rsidR="00925D31" w:rsidRPr="006A7C86">
        <w:rPr>
          <w:sz w:val="14"/>
          <w:szCs w:val="14"/>
        </w:rPr>
        <w:t>firma</w:t>
      </w:r>
      <w:r w:rsidR="00925D31" w:rsidRPr="006A7C86">
        <w:rPr>
          <w:spacing w:val="-4"/>
          <w:sz w:val="14"/>
          <w:szCs w:val="14"/>
        </w:rPr>
        <w:t xml:space="preserve"> </w:t>
      </w:r>
      <w:r w:rsidR="00925D31" w:rsidRPr="006A7C86">
        <w:rPr>
          <w:spacing w:val="-2"/>
          <w:sz w:val="14"/>
          <w:szCs w:val="14"/>
        </w:rPr>
        <w:t>autografa</w:t>
      </w:r>
    </w:p>
    <w:sectPr w:rsidR="00B6272C" w:rsidRPr="006A7C86" w:rsidSect="00BD51BE">
      <w:pgSz w:w="11920" w:h="16850"/>
      <w:pgMar w:top="709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Text">
    <w:altName w:val="Sitka Text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F73F1"/>
    <w:multiLevelType w:val="hybridMultilevel"/>
    <w:tmpl w:val="65F4CF66"/>
    <w:lvl w:ilvl="0" w:tplc="36885960">
      <w:start w:val="1"/>
      <w:numFmt w:val="decimal"/>
      <w:lvlText w:val="%1."/>
      <w:lvlJc w:val="left"/>
      <w:pPr>
        <w:ind w:left="1844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118FF18">
      <w:numFmt w:val="bullet"/>
      <w:lvlText w:val="-"/>
      <w:lvlJc w:val="left"/>
      <w:pPr>
        <w:ind w:left="2564" w:hanging="360"/>
      </w:pPr>
      <w:rPr>
        <w:rFonts w:ascii="Sitka Text" w:eastAsia="Sitka Text" w:hAnsi="Sitka Text" w:cs="Sitka Tex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9D0ADB6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3" w:tplc="8F227024">
      <w:numFmt w:val="bullet"/>
      <w:lvlText w:val="•"/>
      <w:lvlJc w:val="left"/>
      <w:pPr>
        <w:ind w:left="4638" w:hanging="360"/>
      </w:pPr>
      <w:rPr>
        <w:rFonts w:hint="default"/>
        <w:lang w:val="it-IT" w:eastAsia="en-US" w:bidi="ar-SA"/>
      </w:rPr>
    </w:lvl>
    <w:lvl w:ilvl="4" w:tplc="8F04FF10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5" w:tplc="A35A5E60">
      <w:numFmt w:val="bullet"/>
      <w:lvlText w:val="•"/>
      <w:lvlJc w:val="left"/>
      <w:pPr>
        <w:ind w:left="6716" w:hanging="360"/>
      </w:pPr>
      <w:rPr>
        <w:rFonts w:hint="default"/>
        <w:lang w:val="it-IT" w:eastAsia="en-US" w:bidi="ar-SA"/>
      </w:rPr>
    </w:lvl>
    <w:lvl w:ilvl="6" w:tplc="1C94C5F4">
      <w:numFmt w:val="bullet"/>
      <w:lvlText w:val="•"/>
      <w:lvlJc w:val="left"/>
      <w:pPr>
        <w:ind w:left="7755" w:hanging="360"/>
      </w:pPr>
      <w:rPr>
        <w:rFonts w:hint="default"/>
        <w:lang w:val="it-IT" w:eastAsia="en-US" w:bidi="ar-SA"/>
      </w:rPr>
    </w:lvl>
    <w:lvl w:ilvl="7" w:tplc="C0EE0E58">
      <w:numFmt w:val="bullet"/>
      <w:lvlText w:val="•"/>
      <w:lvlJc w:val="left"/>
      <w:pPr>
        <w:ind w:left="8794" w:hanging="360"/>
      </w:pPr>
      <w:rPr>
        <w:rFonts w:hint="default"/>
        <w:lang w:val="it-IT" w:eastAsia="en-US" w:bidi="ar-SA"/>
      </w:rPr>
    </w:lvl>
    <w:lvl w:ilvl="8" w:tplc="8CBEB570">
      <w:numFmt w:val="bullet"/>
      <w:lvlText w:val="•"/>
      <w:lvlJc w:val="left"/>
      <w:pPr>
        <w:ind w:left="983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6863A8E"/>
    <w:multiLevelType w:val="hybridMultilevel"/>
    <w:tmpl w:val="1188CB3C"/>
    <w:lvl w:ilvl="0" w:tplc="687850D8">
      <w:numFmt w:val="bullet"/>
      <w:lvlText w:val="-"/>
      <w:lvlJc w:val="left"/>
      <w:pPr>
        <w:ind w:left="991" w:hanging="4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31C183E">
      <w:numFmt w:val="bullet"/>
      <w:lvlText w:val=""/>
      <w:lvlJc w:val="left"/>
      <w:pPr>
        <w:ind w:left="17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ACE1CF2">
      <w:numFmt w:val="bullet"/>
      <w:lvlText w:val="•"/>
      <w:lvlJc w:val="left"/>
      <w:pPr>
        <w:ind w:left="2852" w:hanging="360"/>
      </w:pPr>
      <w:rPr>
        <w:rFonts w:hint="default"/>
        <w:lang w:val="it-IT" w:eastAsia="en-US" w:bidi="ar-SA"/>
      </w:rPr>
    </w:lvl>
    <w:lvl w:ilvl="3" w:tplc="DB98166A">
      <w:numFmt w:val="bullet"/>
      <w:lvlText w:val="•"/>
      <w:lvlJc w:val="left"/>
      <w:pPr>
        <w:ind w:left="3984" w:hanging="360"/>
      </w:pPr>
      <w:rPr>
        <w:rFonts w:hint="default"/>
        <w:lang w:val="it-IT" w:eastAsia="en-US" w:bidi="ar-SA"/>
      </w:rPr>
    </w:lvl>
    <w:lvl w:ilvl="4" w:tplc="46FA3DFE">
      <w:numFmt w:val="bullet"/>
      <w:lvlText w:val="•"/>
      <w:lvlJc w:val="left"/>
      <w:pPr>
        <w:ind w:left="5117" w:hanging="360"/>
      </w:pPr>
      <w:rPr>
        <w:rFonts w:hint="default"/>
        <w:lang w:val="it-IT" w:eastAsia="en-US" w:bidi="ar-SA"/>
      </w:rPr>
    </w:lvl>
    <w:lvl w:ilvl="5" w:tplc="A410A78E">
      <w:numFmt w:val="bullet"/>
      <w:lvlText w:val="•"/>
      <w:lvlJc w:val="left"/>
      <w:pPr>
        <w:ind w:left="6249" w:hanging="360"/>
      </w:pPr>
      <w:rPr>
        <w:rFonts w:hint="default"/>
        <w:lang w:val="it-IT" w:eastAsia="en-US" w:bidi="ar-SA"/>
      </w:rPr>
    </w:lvl>
    <w:lvl w:ilvl="6" w:tplc="79EE107A">
      <w:numFmt w:val="bullet"/>
      <w:lvlText w:val="•"/>
      <w:lvlJc w:val="left"/>
      <w:pPr>
        <w:ind w:left="7381" w:hanging="360"/>
      </w:pPr>
      <w:rPr>
        <w:rFonts w:hint="default"/>
        <w:lang w:val="it-IT" w:eastAsia="en-US" w:bidi="ar-SA"/>
      </w:rPr>
    </w:lvl>
    <w:lvl w:ilvl="7" w:tplc="8138E01C">
      <w:numFmt w:val="bullet"/>
      <w:lvlText w:val="•"/>
      <w:lvlJc w:val="left"/>
      <w:pPr>
        <w:ind w:left="8514" w:hanging="360"/>
      </w:pPr>
      <w:rPr>
        <w:rFonts w:hint="default"/>
        <w:lang w:val="it-IT" w:eastAsia="en-US" w:bidi="ar-SA"/>
      </w:rPr>
    </w:lvl>
    <w:lvl w:ilvl="8" w:tplc="420083BC">
      <w:numFmt w:val="bullet"/>
      <w:lvlText w:val="•"/>
      <w:lvlJc w:val="left"/>
      <w:pPr>
        <w:ind w:left="964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11C0B4F"/>
    <w:multiLevelType w:val="hybridMultilevel"/>
    <w:tmpl w:val="EEA4B952"/>
    <w:lvl w:ilvl="0" w:tplc="EE9A1B94">
      <w:numFmt w:val="bullet"/>
      <w:lvlText w:val=""/>
      <w:lvlJc w:val="left"/>
      <w:pPr>
        <w:ind w:left="141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C90D0A6">
      <w:numFmt w:val="bullet"/>
      <w:lvlText w:val="□"/>
      <w:lvlJc w:val="left"/>
      <w:pPr>
        <w:ind w:left="1555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8"/>
        <w:sz w:val="22"/>
        <w:szCs w:val="22"/>
        <w:lang w:val="it-IT" w:eastAsia="en-US" w:bidi="ar-SA"/>
      </w:rPr>
    </w:lvl>
    <w:lvl w:ilvl="2" w:tplc="0D689FDC">
      <w:numFmt w:val="bullet"/>
      <w:lvlText w:val="•"/>
      <w:lvlJc w:val="left"/>
      <w:pPr>
        <w:ind w:left="2710" w:hanging="284"/>
      </w:pPr>
      <w:rPr>
        <w:rFonts w:hint="default"/>
        <w:lang w:val="it-IT" w:eastAsia="en-US" w:bidi="ar-SA"/>
      </w:rPr>
    </w:lvl>
    <w:lvl w:ilvl="3" w:tplc="4FAAAF58">
      <w:numFmt w:val="bullet"/>
      <w:lvlText w:val="•"/>
      <w:lvlJc w:val="left"/>
      <w:pPr>
        <w:ind w:left="3860" w:hanging="284"/>
      </w:pPr>
      <w:rPr>
        <w:rFonts w:hint="default"/>
        <w:lang w:val="it-IT" w:eastAsia="en-US" w:bidi="ar-SA"/>
      </w:rPr>
    </w:lvl>
    <w:lvl w:ilvl="4" w:tplc="2D9E8DF0">
      <w:numFmt w:val="bullet"/>
      <w:lvlText w:val="•"/>
      <w:lvlJc w:val="left"/>
      <w:pPr>
        <w:ind w:left="5010" w:hanging="284"/>
      </w:pPr>
      <w:rPr>
        <w:rFonts w:hint="default"/>
        <w:lang w:val="it-IT" w:eastAsia="en-US" w:bidi="ar-SA"/>
      </w:rPr>
    </w:lvl>
    <w:lvl w:ilvl="5" w:tplc="B1F46144">
      <w:numFmt w:val="bullet"/>
      <w:lvlText w:val="•"/>
      <w:lvlJc w:val="left"/>
      <w:pPr>
        <w:ind w:left="6160" w:hanging="284"/>
      </w:pPr>
      <w:rPr>
        <w:rFonts w:hint="default"/>
        <w:lang w:val="it-IT" w:eastAsia="en-US" w:bidi="ar-SA"/>
      </w:rPr>
    </w:lvl>
    <w:lvl w:ilvl="6" w:tplc="D228D65C">
      <w:numFmt w:val="bullet"/>
      <w:lvlText w:val="•"/>
      <w:lvlJc w:val="left"/>
      <w:pPr>
        <w:ind w:left="7310" w:hanging="284"/>
      </w:pPr>
      <w:rPr>
        <w:rFonts w:hint="default"/>
        <w:lang w:val="it-IT" w:eastAsia="en-US" w:bidi="ar-SA"/>
      </w:rPr>
    </w:lvl>
    <w:lvl w:ilvl="7" w:tplc="0EC64192">
      <w:numFmt w:val="bullet"/>
      <w:lvlText w:val="•"/>
      <w:lvlJc w:val="left"/>
      <w:pPr>
        <w:ind w:left="8460" w:hanging="284"/>
      </w:pPr>
      <w:rPr>
        <w:rFonts w:hint="default"/>
        <w:lang w:val="it-IT" w:eastAsia="en-US" w:bidi="ar-SA"/>
      </w:rPr>
    </w:lvl>
    <w:lvl w:ilvl="8" w:tplc="091AA62C">
      <w:numFmt w:val="bullet"/>
      <w:lvlText w:val="•"/>
      <w:lvlJc w:val="left"/>
      <w:pPr>
        <w:ind w:left="9610" w:hanging="28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2C"/>
    <w:rsid w:val="004B2869"/>
    <w:rsid w:val="00532755"/>
    <w:rsid w:val="005A3A6D"/>
    <w:rsid w:val="006A7C86"/>
    <w:rsid w:val="006E63BC"/>
    <w:rsid w:val="00843FB0"/>
    <w:rsid w:val="008F1ACB"/>
    <w:rsid w:val="00925D31"/>
    <w:rsid w:val="0097143A"/>
    <w:rsid w:val="00A46F5E"/>
    <w:rsid w:val="00B25EA9"/>
    <w:rsid w:val="00B6272C"/>
    <w:rsid w:val="00BD51BE"/>
    <w:rsid w:val="00D33AA0"/>
    <w:rsid w:val="00D83C6F"/>
    <w:rsid w:val="00E9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B69C"/>
  <w15:docId w15:val="{040C6812-C8E5-4FE5-97B9-ECD484AA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99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844" w:hanging="360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character" w:styleId="Enfasicorsivo">
    <w:name w:val="Emphasis"/>
    <w:basedOn w:val="Carpredefinitoparagrafo"/>
    <w:uiPriority w:val="20"/>
    <w:qFormat/>
    <w:rsid w:val="004B28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rizzontescuola.it/wp-content/uploads/2024/06/ordinanza-n.16715-2024-Cassazion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Luisa Brufani</cp:lastModifiedBy>
  <cp:revision>8</cp:revision>
  <dcterms:created xsi:type="dcterms:W3CDTF">2025-07-22T11:03:00Z</dcterms:created>
  <dcterms:modified xsi:type="dcterms:W3CDTF">2025-07-22T11:36:00Z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2025-07-22T00:00:00Z</vt:filetime>
  </property>
  <property fmtid="{D5CDD505-2E9C-101B-9397-08002B2CF9AE}" pid="5" name="Producer">
    <vt:lpwstr>Adobe PDF Library 20.6.74; modified using iTextSharp™ 5.5.0 ©2000-2013 iText Group NV (AGPL-version)</vt:lpwstr>
  </property>
  <property fmtid="{D5CDD505-2E9C-101B-9397-08002B2CF9AE}" pid="6" name="SourceModified">
    <vt:lpwstr>D:20250122134012</vt:lpwstr>
  </property>
</Properties>
</file>